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A" w:rsidRDefault="0047238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1005840</wp:posOffset>
            </wp:positionV>
            <wp:extent cx="2127250" cy="929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209" w:lineRule="exact"/>
        <w:rPr>
          <w:sz w:val="24"/>
          <w:szCs w:val="24"/>
        </w:rPr>
      </w:pP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387" w:lineRule="exact"/>
        <w:rPr>
          <w:sz w:val="24"/>
          <w:szCs w:val="24"/>
        </w:rPr>
      </w:pPr>
    </w:p>
    <w:p w:rsidR="009138FA" w:rsidRDefault="0047238C">
      <w:pPr>
        <w:ind w:left="5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NovaTHOR</w:t>
      </w:r>
    </w:p>
    <w:p w:rsidR="009138FA" w:rsidRDefault="009138FA">
      <w:pPr>
        <w:spacing w:line="34" w:lineRule="exact"/>
        <w:rPr>
          <w:sz w:val="24"/>
          <w:szCs w:val="24"/>
        </w:rPr>
      </w:pPr>
    </w:p>
    <w:p w:rsidR="009138FA" w:rsidRDefault="0047238C">
      <w:pPr>
        <w:ind w:left="5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Эпоксидный компаунд для дробильных машин</w:t>
      </w: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363" w:lineRule="exact"/>
        <w:rPr>
          <w:sz w:val="24"/>
          <w:szCs w:val="24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ТЕХНИЧЕСКИЙ ПАСПОРТ</w:t>
      </w:r>
    </w:p>
    <w:p w:rsidR="009138FA" w:rsidRDefault="009138FA">
      <w:pPr>
        <w:spacing w:line="288" w:lineRule="exact"/>
        <w:rPr>
          <w:sz w:val="24"/>
          <w:szCs w:val="24"/>
        </w:rPr>
      </w:pPr>
    </w:p>
    <w:p w:rsidR="009138FA" w:rsidRDefault="0047238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NovaTHOR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двухкомпонентная защитная смесь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(компаунд)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 амортизирующий материал на основе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эпоксидной смолы для камнедробилок. Функциональное назначение – защитное и армирующее покрытие рабочих поверхностей дробилки и демпфирование (амортизация) ударных нагрузок.</w:t>
      </w:r>
    </w:p>
    <w:p w:rsidR="009138FA" w:rsidRDefault="009138FA">
      <w:pPr>
        <w:spacing w:line="248" w:lineRule="exact"/>
        <w:rPr>
          <w:sz w:val="24"/>
          <w:szCs w:val="24"/>
        </w:rPr>
      </w:pPr>
    </w:p>
    <w:p w:rsidR="009138FA" w:rsidRDefault="0047238C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NovaTHOR </w:t>
      </w:r>
      <w:r>
        <w:rPr>
          <w:rFonts w:ascii="Arial" w:eastAsia="Arial" w:hAnsi="Arial" w:cs="Arial"/>
          <w:sz w:val="20"/>
          <w:szCs w:val="20"/>
        </w:rPr>
        <w:t>используется для заполнения полостей между верхней рабочей частью дробилки и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внешним корпусом и между рабочей конусной бобиной и внутренним корпусом в конусных дробилках. Также используется для заполнения пространства между верхней частью станины и размалывателями.</w:t>
      </w: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307" w:lineRule="exact"/>
        <w:rPr>
          <w:sz w:val="24"/>
          <w:szCs w:val="24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ТЕХНИЧЕСКИЕ ХАРАКТЕРИСТИКИ ПРОДУКТА (при 20 </w:t>
      </w:r>
      <w:r>
        <w:rPr>
          <w:rFonts w:ascii="Arial" w:eastAsia="Arial" w:hAnsi="Arial" w:cs="Arial"/>
          <w:b/>
          <w:bCs/>
          <w:sz w:val="27"/>
          <w:szCs w:val="27"/>
          <w:vertAlign w:val="superscript"/>
        </w:rPr>
        <w:t>0</w:t>
      </w:r>
      <w:r>
        <w:rPr>
          <w:rFonts w:ascii="Arial" w:eastAsia="Arial" w:hAnsi="Arial" w:cs="Arial"/>
          <w:b/>
          <w:bCs/>
        </w:rPr>
        <w:t>C) (Стандартные значения)</w:t>
      </w:r>
    </w:p>
    <w:p w:rsidR="009138FA" w:rsidRDefault="009138FA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80"/>
        <w:gridCol w:w="2260"/>
        <w:gridCol w:w="2280"/>
      </w:tblGrid>
      <w:tr w:rsidR="009138FA">
        <w:trPr>
          <w:trHeight w:val="237"/>
        </w:trPr>
        <w:tc>
          <w:tcPr>
            <w:tcW w:w="540" w:type="dxa"/>
            <w:tcBorders>
              <w:top w:val="single" w:sz="8" w:space="0" w:color="BFBFBF"/>
              <w:left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Смола</w:t>
            </w:r>
          </w:p>
        </w:tc>
        <w:tc>
          <w:tcPr>
            <w:tcW w:w="22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Отвердитель</w:t>
            </w:r>
          </w:p>
        </w:tc>
      </w:tr>
      <w:tr w:rsidR="009138FA">
        <w:trPr>
          <w:trHeight w:val="23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(Компонент А)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(Компонент Б)</w:t>
            </w:r>
          </w:p>
        </w:tc>
      </w:tr>
      <w:tr w:rsidR="009138FA">
        <w:trPr>
          <w:trHeight w:val="218"/>
        </w:trPr>
        <w:tc>
          <w:tcPr>
            <w:tcW w:w="540" w:type="dxa"/>
            <w:tcBorders>
              <w:left w:val="single" w:sz="8" w:space="0" w:color="BFBFBF"/>
            </w:tcBorders>
            <w:vAlign w:val="bottom"/>
          </w:tcPr>
          <w:p w:rsidR="009138FA" w:rsidRDefault="009138FA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tcBorders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Цвет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 желтого до</w:t>
            </w:r>
          </w:p>
        </w:tc>
        <w:tc>
          <w:tcPr>
            <w:tcW w:w="2280" w:type="dxa"/>
            <w:tcBorders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 прозрачного до</w:t>
            </w:r>
          </w:p>
        </w:tc>
      </w:tr>
      <w:tr w:rsidR="009138FA">
        <w:trPr>
          <w:trHeight w:val="232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коричневого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коричневого</w:t>
            </w:r>
          </w:p>
        </w:tc>
      </w:tr>
      <w:tr w:rsidR="009138FA">
        <w:trPr>
          <w:trHeight w:val="222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Плотность (25 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C), кг/м3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1,50-1,70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0,96-1,10</w:t>
            </w:r>
          </w:p>
        </w:tc>
      </w:tr>
      <w:tr w:rsidR="009138FA">
        <w:trPr>
          <w:trHeight w:val="218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9138FA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Соотношение компонентов по объему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9,05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0,95</w:t>
            </w: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Соотношение компонентов по массе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0,8</w:t>
            </w:r>
          </w:p>
        </w:tc>
      </w:tr>
      <w:tr w:rsidR="009138FA">
        <w:trPr>
          <w:trHeight w:val="222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Вязкость смеси (25 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С), мПа с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&lt;17000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Время жизни (25 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С), мин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15±5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Время отверждения (25 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С), мин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90±15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Плотность, кг/м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1600±200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18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Твердость (Шор D)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&gt;80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8"/>
                <w:szCs w:val="18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Прочность на сжатие, МПа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&gt;70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Прочность на разрыв, МПа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&gt;20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0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Прочность на сдвиг, МПа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&gt;15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2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Ударная прочность, кДж/м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&gt;5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19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Усадка, %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&lt;0,01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  <w:tr w:rsidR="009138FA">
        <w:trPr>
          <w:trHeight w:val="222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8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47238C">
            <w:pPr>
              <w:spacing w:line="22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Теплостойкость, 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:rsidR="009138FA" w:rsidRDefault="0047238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&gt;100</w:t>
            </w:r>
          </w:p>
        </w:tc>
        <w:tc>
          <w:tcPr>
            <w:tcW w:w="22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9138FA" w:rsidRDefault="009138FA">
            <w:pPr>
              <w:rPr>
                <w:sz w:val="19"/>
                <w:szCs w:val="19"/>
              </w:rPr>
            </w:pPr>
          </w:p>
        </w:tc>
      </w:tr>
    </w:tbl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224" w:lineRule="exact"/>
        <w:rPr>
          <w:sz w:val="24"/>
          <w:szCs w:val="24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ПРИМЕНЕНИЕ</w:t>
      </w:r>
    </w:p>
    <w:p w:rsidR="009138FA" w:rsidRDefault="009138FA">
      <w:pPr>
        <w:spacing w:line="199" w:lineRule="exact"/>
        <w:rPr>
          <w:sz w:val="24"/>
          <w:szCs w:val="24"/>
        </w:rPr>
      </w:pPr>
    </w:p>
    <w:p w:rsidR="009138FA" w:rsidRDefault="0047238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Перед использованием рекомендуется поместить </w:t>
      </w:r>
      <w:r>
        <w:rPr>
          <w:rFonts w:ascii="Arial" w:eastAsia="Arial" w:hAnsi="Arial" w:cs="Arial"/>
          <w:b/>
          <w:bCs/>
          <w:sz w:val="20"/>
          <w:szCs w:val="20"/>
        </w:rPr>
        <w:t>NovaTHOR</w:t>
      </w:r>
      <w:r>
        <w:rPr>
          <w:rFonts w:ascii="Arial" w:eastAsia="Arial" w:hAnsi="Arial" w:cs="Arial"/>
          <w:sz w:val="20"/>
          <w:szCs w:val="20"/>
        </w:rPr>
        <w:t xml:space="preserve"> в теплое помещение на 24 часа для достижения наиболее подходящей рабочей температуры – около 20 </w:t>
      </w:r>
      <w:r>
        <w:rPr>
          <w:rFonts w:ascii="Arial" w:eastAsia="Arial" w:hAnsi="Arial" w:cs="Arial"/>
          <w:sz w:val="25"/>
          <w:szCs w:val="25"/>
          <w:vertAlign w:val="superscript"/>
        </w:rPr>
        <w:t>о</w:t>
      </w:r>
      <w:r>
        <w:rPr>
          <w:rFonts w:ascii="Arial" w:eastAsia="Arial" w:hAnsi="Arial" w:cs="Arial"/>
          <w:sz w:val="20"/>
          <w:szCs w:val="20"/>
        </w:rPr>
        <w:t>С.</w:t>
      </w:r>
    </w:p>
    <w:p w:rsidR="009138FA" w:rsidRDefault="0047238C">
      <w:pPr>
        <w:spacing w:line="211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более низких температурах материал будет более вязким, а при температуре выше 30</w:t>
      </w:r>
      <w:r>
        <w:rPr>
          <w:rFonts w:ascii="Arial" w:eastAsia="Arial" w:hAnsi="Arial" w:cs="Arial"/>
          <w:sz w:val="25"/>
          <w:szCs w:val="25"/>
          <w:vertAlign w:val="superscript"/>
        </w:rPr>
        <w:t>о</w:t>
      </w:r>
      <w:r>
        <w:rPr>
          <w:rFonts w:ascii="Arial" w:eastAsia="Arial" w:hAnsi="Arial" w:cs="Arial"/>
          <w:sz w:val="20"/>
          <w:szCs w:val="20"/>
        </w:rPr>
        <w:t>С «жизнеспособность» продукта уменьшится. При температурах ниже 5</w:t>
      </w:r>
      <w:r>
        <w:rPr>
          <w:rFonts w:ascii="Arial" w:eastAsia="Arial" w:hAnsi="Arial" w:cs="Arial"/>
          <w:sz w:val="25"/>
          <w:szCs w:val="25"/>
          <w:vertAlign w:val="superscript"/>
        </w:rPr>
        <w:t>о</w:t>
      </w:r>
      <w:r>
        <w:rPr>
          <w:rFonts w:ascii="Arial" w:eastAsia="Arial" w:hAnsi="Arial" w:cs="Arial"/>
          <w:sz w:val="20"/>
          <w:szCs w:val="20"/>
        </w:rPr>
        <w:t>С и выше 40</w:t>
      </w:r>
      <w:r>
        <w:rPr>
          <w:rFonts w:ascii="Arial" w:eastAsia="Arial" w:hAnsi="Arial" w:cs="Arial"/>
          <w:sz w:val="25"/>
          <w:szCs w:val="25"/>
          <w:vertAlign w:val="superscript"/>
        </w:rPr>
        <w:t>о</w:t>
      </w:r>
      <w:r>
        <w:rPr>
          <w:rFonts w:ascii="Arial" w:eastAsia="Arial" w:hAnsi="Arial" w:cs="Arial"/>
          <w:sz w:val="20"/>
          <w:szCs w:val="20"/>
        </w:rPr>
        <w:t>С не следует производить заливку.</w:t>
      </w:r>
    </w:p>
    <w:p w:rsidR="009138FA" w:rsidRDefault="009138FA">
      <w:pPr>
        <w:spacing w:line="200" w:lineRule="exact"/>
        <w:rPr>
          <w:sz w:val="24"/>
          <w:szCs w:val="24"/>
        </w:rPr>
      </w:pPr>
    </w:p>
    <w:p w:rsidR="009138FA" w:rsidRDefault="009138FA">
      <w:pPr>
        <w:spacing w:line="290" w:lineRule="exact"/>
        <w:rPr>
          <w:sz w:val="24"/>
          <w:szCs w:val="24"/>
        </w:rPr>
      </w:pPr>
    </w:p>
    <w:p w:rsidR="009138FA" w:rsidRDefault="0047238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</w:t>
      </w:r>
    </w:p>
    <w:p w:rsidR="009138FA" w:rsidRDefault="009138FA">
      <w:pPr>
        <w:spacing w:line="2" w:lineRule="exact"/>
        <w:rPr>
          <w:sz w:val="24"/>
          <w:szCs w:val="24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AAAA"/>
          <w:sz w:val="24"/>
          <w:szCs w:val="24"/>
        </w:rPr>
        <w:t xml:space="preserve">NovaTHOR </w:t>
      </w:r>
      <w:r>
        <w:rPr>
          <w:rFonts w:ascii="Arial" w:eastAsia="Arial" w:hAnsi="Arial" w:cs="Arial"/>
          <w:color w:val="AEAAAA"/>
          <w:sz w:val="16"/>
          <w:szCs w:val="16"/>
        </w:rPr>
        <w:t>Наполнитель для дробильных машин</w:t>
      </w:r>
    </w:p>
    <w:p w:rsidR="009138FA" w:rsidRDefault="009138FA">
      <w:pPr>
        <w:spacing w:line="22" w:lineRule="exact"/>
        <w:rPr>
          <w:sz w:val="24"/>
          <w:szCs w:val="24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AEAAAA"/>
        </w:rPr>
        <w:t>ТЕХНИЧЕСКИЙ ПАСПОРТ</w:t>
      </w:r>
    </w:p>
    <w:p w:rsidR="009138FA" w:rsidRDefault="009138FA">
      <w:pPr>
        <w:sectPr w:rsidR="009138FA">
          <w:pgSz w:w="11900" w:h="16838"/>
          <w:pgMar w:top="1440" w:right="846" w:bottom="143" w:left="1440" w:header="0" w:footer="0" w:gutter="0"/>
          <w:cols w:space="720" w:equalWidth="0">
            <w:col w:w="9620"/>
          </w:cols>
        </w:sectPr>
      </w:pPr>
    </w:p>
    <w:p w:rsidR="009138FA" w:rsidRDefault="0047238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Следует ознакомиться с соответствующими инструкциями производителя дробилки перед началом использования продукта.</w:t>
      </w:r>
    </w:p>
    <w:p w:rsidR="009138FA" w:rsidRDefault="009138FA">
      <w:pPr>
        <w:spacing w:line="259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Смешивание:</w:t>
      </w:r>
    </w:p>
    <w:p w:rsidR="009138FA" w:rsidRDefault="009138FA">
      <w:pPr>
        <w:spacing w:line="27" w:lineRule="exact"/>
        <w:rPr>
          <w:sz w:val="20"/>
          <w:szCs w:val="20"/>
        </w:rPr>
      </w:pPr>
    </w:p>
    <w:p w:rsidR="009138FA" w:rsidRDefault="0047238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NovaTHOR </w:t>
      </w:r>
      <w:r>
        <w:rPr>
          <w:rFonts w:ascii="Arial" w:eastAsia="Arial" w:hAnsi="Arial" w:cs="Arial"/>
          <w:sz w:val="20"/>
          <w:szCs w:val="20"/>
        </w:rPr>
        <w:t>поставляется в виде двух компонентов со сбалансированным соотношением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смешивания, которое не следует изменять. В подходящем смесительном оборудовании (например, медленная лопастная мешалка) взболтайте компонент А и тщательно смешайте с компонентом Б – отвердителем. Показателем полного смешивания послужит равномерная окраска смеси. Ошибочное соотношение смешивания или плохое перемешивание приведет к частичному (местному) отвердению вещества и отбраковке (негодности) всей смеси.</w:t>
      </w:r>
    </w:p>
    <w:p w:rsidR="009138FA" w:rsidRDefault="009138FA">
      <w:pPr>
        <w:spacing w:line="8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Очистка оборудования:</w:t>
      </w:r>
    </w:p>
    <w:p w:rsidR="009138FA" w:rsidRDefault="009138FA">
      <w:pPr>
        <w:spacing w:line="27" w:lineRule="exact"/>
        <w:rPr>
          <w:sz w:val="20"/>
          <w:szCs w:val="20"/>
        </w:rPr>
      </w:pPr>
    </w:p>
    <w:p w:rsidR="009138FA" w:rsidRDefault="0047238C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Оборудование, использованное для приготовления и работы с продуктом, следует немедленно после использования очистить денатурированным спиртом, так как после засыхания NovaTHOR становится трудноудалим.</w:t>
      </w: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308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СРОК ХРАНЕНИЯ</w:t>
      </w:r>
    </w:p>
    <w:p w:rsidR="009138FA" w:rsidRDefault="009138FA">
      <w:pPr>
        <w:spacing w:line="199" w:lineRule="exact"/>
        <w:rPr>
          <w:sz w:val="20"/>
          <w:szCs w:val="20"/>
        </w:rPr>
      </w:pPr>
    </w:p>
    <w:p w:rsidR="009138FA" w:rsidRDefault="0047238C">
      <w:pPr>
        <w:spacing w:line="24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хранении в заводских упаковках в сухом и прохладном помещении срок годности продукта составляет около 18 месяцев со срока изготовления.</w:t>
      </w: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311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МЕРЫ ПРЕДОСТОРОЖНОСТИ</w:t>
      </w:r>
    </w:p>
    <w:p w:rsidR="009138FA" w:rsidRDefault="009138FA">
      <w:pPr>
        <w:spacing w:line="199" w:lineRule="exact"/>
        <w:rPr>
          <w:sz w:val="20"/>
          <w:szCs w:val="20"/>
        </w:rPr>
      </w:pPr>
    </w:p>
    <w:p w:rsidR="009138FA" w:rsidRDefault="0047238C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Перед применением данного продукта ознакомьтесь с соответствующими паспортами безопасности для получения полной информации о безопасности и условиях эксплуатации.</w:t>
      </w: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315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УПАКОВКА</w:t>
      </w:r>
    </w:p>
    <w:p w:rsidR="009138FA" w:rsidRDefault="009138FA">
      <w:pPr>
        <w:spacing w:line="199" w:lineRule="exact"/>
        <w:rPr>
          <w:sz w:val="20"/>
          <w:szCs w:val="20"/>
        </w:rPr>
      </w:pPr>
    </w:p>
    <w:p w:rsidR="009138FA" w:rsidRDefault="0047238C">
      <w:pPr>
        <w:spacing w:line="247" w:lineRule="auto"/>
        <w:ind w:left="260" w:righ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Компонент А фасуется в металлические евроведра объемом 10 л; Компонент Б фасуется в пластиковую тару объемом 1 л.</w:t>
      </w:r>
    </w:p>
    <w:p w:rsidR="009138FA" w:rsidRDefault="009138FA">
      <w:pPr>
        <w:spacing w:line="265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41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00" w:lineRule="exact"/>
        <w:rPr>
          <w:sz w:val="20"/>
          <w:szCs w:val="20"/>
        </w:rPr>
      </w:pPr>
    </w:p>
    <w:p w:rsidR="009138FA" w:rsidRDefault="009138FA">
      <w:pPr>
        <w:spacing w:line="253" w:lineRule="exact"/>
        <w:rPr>
          <w:sz w:val="20"/>
          <w:szCs w:val="20"/>
        </w:rPr>
      </w:pPr>
    </w:p>
    <w:p w:rsidR="009138FA" w:rsidRDefault="0047238C">
      <w:pPr>
        <w:ind w:left="95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2</w:t>
      </w:r>
    </w:p>
    <w:p w:rsidR="009138FA" w:rsidRDefault="009138FA">
      <w:pPr>
        <w:spacing w:line="4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EAAAA"/>
          <w:sz w:val="24"/>
          <w:szCs w:val="24"/>
        </w:rPr>
        <w:t xml:space="preserve">NovaTHOR </w:t>
      </w:r>
      <w:r>
        <w:rPr>
          <w:rFonts w:ascii="Arial" w:eastAsia="Arial" w:hAnsi="Arial" w:cs="Arial"/>
          <w:color w:val="AEAAAA"/>
          <w:sz w:val="16"/>
          <w:szCs w:val="16"/>
        </w:rPr>
        <w:t>Наполнитель для дробильных машин</w:t>
      </w:r>
    </w:p>
    <w:p w:rsidR="009138FA" w:rsidRDefault="009138FA">
      <w:pPr>
        <w:sectPr w:rsidR="009138FA">
          <w:pgSz w:w="11900" w:h="16838"/>
          <w:pgMar w:top="1140" w:right="846" w:bottom="143" w:left="1440" w:header="0" w:footer="0" w:gutter="0"/>
          <w:cols w:space="720" w:equalWidth="0">
            <w:col w:w="9620"/>
          </w:cols>
        </w:sectPr>
      </w:pPr>
    </w:p>
    <w:p w:rsidR="009138FA" w:rsidRDefault="009138FA">
      <w:pPr>
        <w:spacing w:line="22" w:lineRule="exact"/>
        <w:rPr>
          <w:sz w:val="20"/>
          <w:szCs w:val="20"/>
        </w:rPr>
      </w:pPr>
    </w:p>
    <w:p w:rsidR="009138FA" w:rsidRDefault="0047238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AEAAAA"/>
        </w:rPr>
        <w:t>ТЕХНИЧЕСКИЙ ПАСПОРТ</w:t>
      </w:r>
    </w:p>
    <w:sectPr w:rsidR="009138FA">
      <w:type w:val="continuous"/>
      <w:pgSz w:w="11900" w:h="16838"/>
      <w:pgMar w:top="1140" w:right="846" w:bottom="14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A"/>
    <w:rsid w:val="0047157E"/>
    <w:rsid w:val="0047238C"/>
    <w:rsid w:val="005446C2"/>
    <w:rsid w:val="009138FA"/>
    <w:rsid w:val="00B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84E7C-C7D4-40D0-8FD1-4B4FC29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2020-10-02T09:20:00Z</dcterms:created>
  <dcterms:modified xsi:type="dcterms:W3CDTF">2020-10-02T10:18:00Z</dcterms:modified>
</cp:coreProperties>
</file>